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54" w:rsidRDefault="00C67854" w:rsidP="00C67854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  <w:bookmarkStart w:id="0" w:name="OLE_LINK1"/>
    </w:p>
    <w:p w:rsidR="00C67854" w:rsidRDefault="00C67854" w:rsidP="00C67854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:rsidR="00C67854" w:rsidRPr="006E2322" w:rsidRDefault="00F26314" w:rsidP="00C67854">
      <w:pPr>
        <w:autoSpaceDE w:val="0"/>
        <w:autoSpaceDN w:val="0"/>
        <w:adjustRightInd w:val="0"/>
        <w:jc w:val="center"/>
        <w:rPr>
          <w:rFonts w:ascii="標楷體" w:hAnsi="標楷體" w:cs="夹发砰-WinCharSetFFFF-H" w:hint="eastAsia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X</w:t>
      </w:r>
      <w:r>
        <w:rPr>
          <w:rFonts w:ascii="標楷體" w:hAnsi="標楷體"/>
          <w:b/>
          <w:bCs/>
          <w:color w:val="000000"/>
          <w:kern w:val="0"/>
          <w:sz w:val="56"/>
          <w:szCs w:val="56"/>
        </w:rPr>
        <w:t>XXX</w:t>
      </w:r>
      <w:r w:rsidR="00C67854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:rsidR="00C67854" w:rsidRPr="001F1567" w:rsidRDefault="00C67854" w:rsidP="00C67854">
      <w:pPr>
        <w:spacing w:line="360" w:lineRule="auto"/>
        <w:jc w:val="center"/>
        <w:rPr>
          <w:rFonts w:cs="Arial" w:hint="eastAsia"/>
          <w:b/>
          <w:bCs/>
          <w:sz w:val="48"/>
          <w:szCs w:val="48"/>
        </w:rPr>
      </w:pPr>
    </w:p>
    <w:p w:rsidR="00FA3CBD" w:rsidRPr="00A86394" w:rsidRDefault="00FA3CBD">
      <w:pPr>
        <w:pStyle w:val="af2"/>
        <w:rPr>
          <w:rFonts w:ascii="Times New Roman" w:hAnsi="Times New Roman" w:cs="Times New Roman"/>
        </w:rPr>
      </w:pPr>
      <w:r w:rsidRPr="00A86394">
        <w:rPr>
          <w:rFonts w:ascii="Times New Roman" w:hAnsi="Times New Roman" w:cs="Times New Roman"/>
        </w:rPr>
        <w:t>矯正及預防管理程序書</w:t>
      </w:r>
    </w:p>
    <w:p w:rsidR="00FA3CBD" w:rsidRPr="00A86394" w:rsidRDefault="00FA3CBD">
      <w:pPr>
        <w:spacing w:line="360" w:lineRule="auto"/>
        <w:rPr>
          <w:bCs/>
        </w:rPr>
      </w:pPr>
    </w:p>
    <w:p w:rsidR="00FA3CBD" w:rsidRPr="00A86394" w:rsidRDefault="00FA3CBD">
      <w:pPr>
        <w:spacing w:line="360" w:lineRule="auto"/>
        <w:rPr>
          <w:bCs/>
        </w:rPr>
      </w:pPr>
    </w:p>
    <w:p w:rsidR="00FA3CBD" w:rsidRPr="00A86394" w:rsidRDefault="00FA3CBD">
      <w:pPr>
        <w:spacing w:line="360" w:lineRule="auto"/>
        <w:rPr>
          <w:bCs/>
        </w:rPr>
      </w:pPr>
    </w:p>
    <w:p w:rsidR="00FA3CBD" w:rsidRPr="00A86394" w:rsidRDefault="00FA3CBD">
      <w:pPr>
        <w:spacing w:line="360" w:lineRule="auto"/>
        <w:rPr>
          <w:bCs/>
        </w:rPr>
      </w:pPr>
    </w:p>
    <w:p w:rsidR="00FA3CBD" w:rsidRPr="00A86394" w:rsidRDefault="00FA3CBD">
      <w:pPr>
        <w:spacing w:line="360" w:lineRule="auto"/>
        <w:rPr>
          <w:bCs/>
        </w:rPr>
      </w:pPr>
    </w:p>
    <w:p w:rsidR="00FA3CBD" w:rsidRPr="00A86394" w:rsidRDefault="00FA3CBD">
      <w:pPr>
        <w:spacing w:line="360" w:lineRule="auto"/>
        <w:rPr>
          <w:bCs/>
        </w:rPr>
      </w:pPr>
    </w:p>
    <w:p w:rsidR="00FA3CBD" w:rsidRDefault="00FA3CBD">
      <w:pPr>
        <w:spacing w:line="360" w:lineRule="auto"/>
        <w:rPr>
          <w:rFonts w:hint="eastAsia"/>
          <w:bCs/>
        </w:rPr>
      </w:pPr>
    </w:p>
    <w:p w:rsidR="00C67854" w:rsidRDefault="00C67854">
      <w:pPr>
        <w:spacing w:line="360" w:lineRule="auto"/>
        <w:rPr>
          <w:rFonts w:hint="eastAsia"/>
          <w:bCs/>
        </w:rPr>
      </w:pPr>
    </w:p>
    <w:p w:rsidR="00C67854" w:rsidRPr="00A86394" w:rsidRDefault="00C67854">
      <w:pPr>
        <w:spacing w:line="360" w:lineRule="auto"/>
        <w:rPr>
          <w:rFonts w:hint="eastAsia"/>
          <w:bCs/>
        </w:rPr>
      </w:pPr>
    </w:p>
    <w:p w:rsidR="00FA3CBD" w:rsidRPr="00A86394" w:rsidRDefault="00FA3CBD">
      <w:pPr>
        <w:spacing w:line="360" w:lineRule="auto"/>
        <w:rPr>
          <w:b/>
          <w:bCs/>
          <w:sz w:val="40"/>
          <w:szCs w:val="40"/>
        </w:rPr>
      </w:pPr>
    </w:p>
    <w:p w:rsidR="00FA3CBD" w:rsidRPr="00A86394" w:rsidRDefault="00FA3CBD">
      <w:pPr>
        <w:spacing w:line="360" w:lineRule="auto"/>
        <w:rPr>
          <w:b/>
          <w:bCs/>
          <w:sz w:val="40"/>
          <w:szCs w:val="40"/>
        </w:rPr>
      </w:pPr>
    </w:p>
    <w:p w:rsidR="00FA3CBD" w:rsidRPr="00A86394" w:rsidRDefault="00FA3CBD">
      <w:pPr>
        <w:spacing w:line="360" w:lineRule="auto"/>
        <w:rPr>
          <w:b/>
          <w:bCs/>
          <w:sz w:val="40"/>
          <w:szCs w:val="40"/>
        </w:rPr>
      </w:pPr>
      <w:r w:rsidRPr="00A86394">
        <w:rPr>
          <w:b/>
          <w:bCs/>
          <w:sz w:val="40"/>
          <w:szCs w:val="40"/>
        </w:rPr>
        <w:t>機密等級：</w:t>
      </w:r>
      <w:r w:rsidRPr="00A86394">
        <w:rPr>
          <w:rStyle w:val="af6"/>
          <w:rFonts w:ascii="Times New Roman" w:hAnsi="Times New Roman" w:cs="Times New Roman"/>
        </w:rPr>
        <w:t>限閱</w:t>
      </w:r>
    </w:p>
    <w:p w:rsidR="00FA3CBD" w:rsidRPr="00A86394" w:rsidRDefault="00FA3CBD">
      <w:pPr>
        <w:spacing w:line="360" w:lineRule="auto"/>
        <w:rPr>
          <w:rFonts w:hint="eastAsia"/>
          <w:b/>
          <w:bCs/>
          <w:sz w:val="40"/>
          <w:szCs w:val="40"/>
        </w:rPr>
      </w:pPr>
      <w:r w:rsidRPr="00A86394">
        <w:rPr>
          <w:b/>
          <w:bCs/>
          <w:sz w:val="40"/>
          <w:szCs w:val="40"/>
        </w:rPr>
        <w:t>文件編號：</w:t>
      </w:r>
      <w:r w:rsidR="00F26314">
        <w:rPr>
          <w:b/>
          <w:bCs/>
          <w:sz w:val="40"/>
          <w:szCs w:val="40"/>
        </w:rPr>
        <w:t>XXXX</w:t>
      </w:r>
      <w:r w:rsidRPr="00A86394">
        <w:rPr>
          <w:b/>
          <w:bCs/>
          <w:sz w:val="40"/>
          <w:szCs w:val="40"/>
        </w:rPr>
        <w:t>-B-</w:t>
      </w:r>
      <w:r w:rsidR="00B67D4F" w:rsidRPr="00A86394">
        <w:rPr>
          <w:rFonts w:hint="eastAsia"/>
          <w:b/>
          <w:bCs/>
          <w:sz w:val="40"/>
          <w:szCs w:val="40"/>
        </w:rPr>
        <w:t>014</w:t>
      </w:r>
    </w:p>
    <w:p w:rsidR="00FA3CBD" w:rsidRPr="00A86394" w:rsidRDefault="00FA3CBD">
      <w:pPr>
        <w:spacing w:line="360" w:lineRule="auto"/>
        <w:rPr>
          <w:b/>
          <w:sz w:val="40"/>
          <w:szCs w:val="40"/>
        </w:rPr>
      </w:pPr>
      <w:r w:rsidRPr="00A86394">
        <w:rPr>
          <w:b/>
          <w:bCs/>
          <w:sz w:val="40"/>
          <w:szCs w:val="40"/>
        </w:rPr>
        <w:t>版</w:t>
      </w:r>
      <w:r w:rsidRPr="00A86394">
        <w:rPr>
          <w:b/>
          <w:bCs/>
          <w:sz w:val="40"/>
          <w:szCs w:val="40"/>
        </w:rPr>
        <w:t xml:space="preserve">    </w:t>
      </w:r>
      <w:r w:rsidRPr="00A86394">
        <w:rPr>
          <w:b/>
          <w:bCs/>
          <w:sz w:val="40"/>
          <w:szCs w:val="40"/>
        </w:rPr>
        <w:t>次：</w:t>
      </w:r>
      <w:r w:rsidRPr="00A86394">
        <w:rPr>
          <w:rStyle w:val="af4"/>
          <w:rFonts w:ascii="Times New Roman" w:hAnsi="Times New Roman" w:cs="Times New Roman"/>
        </w:rPr>
        <w:t>1.0</w:t>
      </w:r>
    </w:p>
    <w:p w:rsidR="00FA3CBD" w:rsidRPr="00A86394" w:rsidRDefault="00FA3CBD">
      <w:pPr>
        <w:spacing w:line="360" w:lineRule="auto"/>
        <w:rPr>
          <w:rFonts w:hint="eastAsia"/>
          <w:bCs/>
          <w:sz w:val="40"/>
          <w:szCs w:val="40"/>
        </w:rPr>
      </w:pPr>
      <w:r w:rsidRPr="00A86394">
        <w:rPr>
          <w:b/>
          <w:bCs/>
          <w:sz w:val="40"/>
          <w:szCs w:val="40"/>
        </w:rPr>
        <w:t>發行日期：</w:t>
      </w:r>
      <w:r w:rsidR="00C67854">
        <w:rPr>
          <w:rFonts w:hint="eastAsia"/>
          <w:b/>
          <w:bCs/>
          <w:sz w:val="40"/>
          <w:szCs w:val="40"/>
        </w:rPr>
        <w:t>10</w:t>
      </w:r>
      <w:r w:rsidR="00C70026">
        <w:rPr>
          <w:rFonts w:hint="eastAsia"/>
          <w:b/>
          <w:bCs/>
          <w:sz w:val="40"/>
          <w:szCs w:val="40"/>
        </w:rPr>
        <w:t>9</w:t>
      </w:r>
      <w:r w:rsidR="00C67854">
        <w:rPr>
          <w:rFonts w:hint="eastAsia"/>
          <w:b/>
          <w:bCs/>
          <w:sz w:val="40"/>
          <w:szCs w:val="40"/>
        </w:rPr>
        <w:t>.</w:t>
      </w:r>
      <w:r w:rsidR="00C70026">
        <w:rPr>
          <w:rFonts w:hint="eastAsia"/>
          <w:b/>
          <w:bCs/>
          <w:sz w:val="40"/>
          <w:szCs w:val="40"/>
        </w:rPr>
        <w:t>XX</w:t>
      </w:r>
      <w:r w:rsidR="00C67854">
        <w:rPr>
          <w:rFonts w:hint="eastAsia"/>
          <w:b/>
          <w:bCs/>
          <w:sz w:val="40"/>
          <w:szCs w:val="40"/>
        </w:rPr>
        <w:t>.</w:t>
      </w:r>
      <w:r w:rsidR="00C70026">
        <w:rPr>
          <w:rFonts w:hint="eastAsia"/>
          <w:b/>
          <w:bCs/>
          <w:sz w:val="40"/>
          <w:szCs w:val="40"/>
        </w:rPr>
        <w:t>XX</w:t>
      </w:r>
    </w:p>
    <w:bookmarkEnd w:id="0"/>
    <w:p w:rsidR="00FA3CBD" w:rsidRPr="00A86394" w:rsidRDefault="00FA3CBD">
      <w:pPr>
        <w:spacing w:line="360" w:lineRule="auto"/>
        <w:rPr>
          <w:bCs/>
          <w:sz w:val="40"/>
          <w:szCs w:val="40"/>
        </w:rPr>
        <w:sectPr w:rsidR="00FA3CBD" w:rsidRPr="00A86394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FA3CBD" w:rsidRPr="00A86394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:rsidR="00FA3CBD" w:rsidRPr="00A86394" w:rsidRDefault="00FA3CBD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A86394">
              <w:rPr>
                <w:rFonts w:cs="Arial"/>
                <w:b/>
                <w:sz w:val="32"/>
              </w:rPr>
              <w:lastRenderedPageBreak/>
              <w:t>修　訂　紀　錄</w:t>
            </w:r>
          </w:p>
        </w:tc>
      </w:tr>
      <w:tr w:rsidR="00FA3CBD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FA3CBD" w:rsidRPr="00A86394" w:rsidRDefault="00FA3CBD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A86394">
              <w:rPr>
                <w:rFonts w:cs="Arial"/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:rsidR="00FA3CBD" w:rsidRPr="00A86394" w:rsidRDefault="00FA3CBD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A86394">
              <w:rPr>
                <w:rFonts w:cs="Arial"/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A3CBD" w:rsidRPr="00A86394" w:rsidRDefault="00FA3CBD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A86394">
              <w:rPr>
                <w:rFonts w:cs="Arial"/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:rsidR="00FA3CBD" w:rsidRPr="00A86394" w:rsidRDefault="00FA3CBD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A86394">
              <w:rPr>
                <w:rFonts w:cs="Arial"/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:rsidR="00FA3CBD" w:rsidRPr="00A86394" w:rsidRDefault="00FA3CBD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A86394">
              <w:rPr>
                <w:rFonts w:cs="Arial"/>
                <w:b/>
                <w:sz w:val="32"/>
              </w:rPr>
              <w:t>修訂內容摘要</w:t>
            </w: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C7441F" w:rsidRDefault="00C67854" w:rsidP="00D86096">
            <w:pPr>
              <w:spacing w:line="360" w:lineRule="auto"/>
              <w:jc w:val="center"/>
              <w:rPr>
                <w:rFonts w:cs="Arial"/>
                <w:sz w:val="32"/>
              </w:rPr>
            </w:pPr>
            <w:r w:rsidRPr="00C7441F">
              <w:rPr>
                <w:rFonts w:cs="Arial"/>
                <w:szCs w:val="28"/>
              </w:rPr>
              <w:t>1.0</w:t>
            </w:r>
          </w:p>
        </w:tc>
        <w:tc>
          <w:tcPr>
            <w:tcW w:w="2220" w:type="dxa"/>
            <w:vAlign w:val="center"/>
          </w:tcPr>
          <w:p w:rsidR="00C67854" w:rsidRPr="00C7441F" w:rsidRDefault="00C67854" w:rsidP="00D86096">
            <w:pPr>
              <w:spacing w:line="360" w:lineRule="auto"/>
              <w:jc w:val="center"/>
              <w:rPr>
                <w:rFonts w:cs="Arial"/>
                <w:sz w:val="32"/>
              </w:rPr>
            </w:pPr>
            <w:r>
              <w:rPr>
                <w:rFonts w:cs="Arial" w:hint="eastAsia"/>
                <w:szCs w:val="28"/>
              </w:rPr>
              <w:t>100</w:t>
            </w:r>
            <w:r w:rsidRPr="00C7441F">
              <w:rPr>
                <w:rFonts w:cs="Arial" w:hint="eastAsia"/>
                <w:szCs w:val="28"/>
              </w:rPr>
              <w:t>.0</w:t>
            </w:r>
            <w:r>
              <w:rPr>
                <w:rFonts w:cs="Arial" w:hint="eastAsia"/>
                <w:szCs w:val="28"/>
              </w:rPr>
              <w:t>8</w:t>
            </w:r>
            <w:r w:rsidRPr="00C7441F">
              <w:rPr>
                <w:rFonts w:cs="Arial" w:hint="eastAsia"/>
                <w:szCs w:val="28"/>
              </w:rPr>
              <w:t>.</w:t>
            </w:r>
            <w:r w:rsidR="00551921">
              <w:rPr>
                <w:rFonts w:cs="Arial" w:hint="eastAsia"/>
                <w:szCs w:val="28"/>
              </w:rPr>
              <w:t>25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67854" w:rsidRPr="00C7441F" w:rsidRDefault="00C67854" w:rsidP="00D86096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C7441F" w:rsidRDefault="00C67854" w:rsidP="00D86096">
            <w:pPr>
              <w:spacing w:line="360" w:lineRule="auto"/>
              <w:jc w:val="center"/>
              <w:rPr>
                <w:rFonts w:cs="Arial" w:hint="eastAsia"/>
                <w:sz w:val="32"/>
              </w:rPr>
            </w:pPr>
            <w:r>
              <w:rPr>
                <w:rFonts w:cs="Arial" w:hint="eastAsia"/>
                <w:sz w:val="32"/>
              </w:rPr>
              <w:t>文管人員</w:t>
            </w:r>
          </w:p>
        </w:tc>
        <w:tc>
          <w:tcPr>
            <w:tcW w:w="3780" w:type="dxa"/>
            <w:vAlign w:val="center"/>
          </w:tcPr>
          <w:p w:rsidR="00C67854" w:rsidRPr="00C7441F" w:rsidRDefault="00C67854" w:rsidP="00D86096">
            <w:pPr>
              <w:spacing w:line="360" w:lineRule="auto"/>
              <w:jc w:val="center"/>
              <w:rPr>
                <w:rFonts w:cs="Arial"/>
                <w:sz w:val="32"/>
              </w:rPr>
            </w:pPr>
            <w:r w:rsidRPr="00C7441F">
              <w:rPr>
                <w:rFonts w:cs="Arial" w:hint="eastAsia"/>
                <w:szCs w:val="28"/>
              </w:rPr>
              <w:t>初版</w:t>
            </w: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napToGrid w:val="0"/>
              <w:rPr>
                <w:rFonts w:cs="Arial" w:hint="eastAsia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C67854" w:rsidRPr="00A86394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C67854" w:rsidRPr="00A86394" w:rsidRDefault="00C6785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</w:tbl>
    <w:p w:rsidR="00FA3CBD" w:rsidRPr="00A86394" w:rsidRDefault="00FA3CBD">
      <w:pPr>
        <w:spacing w:line="360" w:lineRule="auto"/>
        <w:rPr>
          <w:sz w:val="36"/>
          <w:szCs w:val="36"/>
        </w:rPr>
        <w:sectPr w:rsidR="00FA3CBD" w:rsidRPr="00A86394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FA3CBD" w:rsidRPr="00A86394" w:rsidRDefault="00FA3CBD">
      <w:pPr>
        <w:spacing w:line="360" w:lineRule="auto"/>
        <w:jc w:val="center"/>
        <w:rPr>
          <w:rFonts w:cs="Arial"/>
          <w:b/>
          <w:sz w:val="36"/>
          <w:szCs w:val="36"/>
        </w:rPr>
      </w:pPr>
      <w:bookmarkStart w:id="1" w:name="_GoBack"/>
      <w:bookmarkEnd w:id="1"/>
      <w:r w:rsidRPr="00A86394">
        <w:rPr>
          <w:rFonts w:cs="Arial"/>
          <w:b/>
          <w:sz w:val="36"/>
          <w:szCs w:val="36"/>
        </w:rPr>
        <w:lastRenderedPageBreak/>
        <w:t>目錄</w:t>
      </w:r>
    </w:p>
    <w:p w:rsidR="00FA3CBD" w:rsidRPr="00A86394" w:rsidRDefault="00FA3CBD">
      <w:pPr>
        <w:spacing w:line="360" w:lineRule="auto"/>
        <w:jc w:val="center"/>
      </w:pPr>
    </w:p>
    <w:p w:rsidR="00FA3CBD" w:rsidRPr="00A86394" w:rsidRDefault="00FA3CBD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A86394">
        <w:fldChar w:fldCharType="begin"/>
      </w:r>
      <w:r w:rsidRPr="00A86394">
        <w:instrText xml:space="preserve"> TOC \o "1-1" \h \z \u </w:instrText>
      </w:r>
      <w:r w:rsidRPr="00A86394">
        <w:fldChar w:fldCharType="separate"/>
      </w:r>
      <w:hyperlink w:anchor="_Toc181863897" w:history="1">
        <w:r w:rsidRPr="00A86394">
          <w:rPr>
            <w:rStyle w:val="aa"/>
            <w:noProof/>
            <w:color w:val="auto"/>
          </w:rPr>
          <w:t>1</w:t>
        </w:r>
        <w:r w:rsidRPr="00A86394">
          <w:rPr>
            <w:noProof/>
            <w:sz w:val="24"/>
          </w:rPr>
          <w:tab/>
        </w:r>
        <w:r w:rsidRPr="00A86394">
          <w:rPr>
            <w:rStyle w:val="aa"/>
            <w:noProof/>
            <w:color w:val="auto"/>
          </w:rPr>
          <w:t>目的</w:t>
        </w:r>
        <w:r w:rsidRPr="00A86394">
          <w:rPr>
            <w:noProof/>
            <w:webHidden/>
          </w:rPr>
          <w:tab/>
        </w:r>
        <w:r w:rsidRPr="00A86394">
          <w:rPr>
            <w:noProof/>
            <w:webHidden/>
          </w:rPr>
          <w:fldChar w:fldCharType="begin"/>
        </w:r>
        <w:r w:rsidRPr="00A86394">
          <w:rPr>
            <w:noProof/>
            <w:webHidden/>
          </w:rPr>
          <w:instrText xml:space="preserve"> PAGEREF _Toc181863897 \h </w:instrText>
        </w:r>
        <w:r w:rsidRPr="00A86394">
          <w:rPr>
            <w:noProof/>
          </w:rPr>
        </w:r>
        <w:r w:rsidRPr="00A86394">
          <w:rPr>
            <w:noProof/>
            <w:webHidden/>
          </w:rPr>
          <w:fldChar w:fldCharType="separate"/>
        </w:r>
        <w:r w:rsidR="00C70B68">
          <w:rPr>
            <w:noProof/>
            <w:webHidden/>
          </w:rPr>
          <w:t>1</w:t>
        </w:r>
        <w:r w:rsidRPr="00A86394">
          <w:rPr>
            <w:noProof/>
            <w:webHidden/>
          </w:rPr>
          <w:fldChar w:fldCharType="end"/>
        </w:r>
      </w:hyperlink>
    </w:p>
    <w:p w:rsidR="00FA3CBD" w:rsidRPr="00A86394" w:rsidRDefault="00FA3CBD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3898" w:history="1">
        <w:r w:rsidRPr="00A86394">
          <w:rPr>
            <w:rStyle w:val="aa"/>
            <w:noProof/>
            <w:color w:val="auto"/>
          </w:rPr>
          <w:t>2</w:t>
        </w:r>
        <w:r w:rsidRPr="00A86394">
          <w:rPr>
            <w:noProof/>
            <w:sz w:val="24"/>
          </w:rPr>
          <w:tab/>
        </w:r>
        <w:r w:rsidRPr="00A86394">
          <w:rPr>
            <w:rStyle w:val="aa"/>
            <w:noProof/>
            <w:color w:val="auto"/>
          </w:rPr>
          <w:t>適用範圍</w:t>
        </w:r>
        <w:r w:rsidRPr="00A86394">
          <w:rPr>
            <w:noProof/>
            <w:webHidden/>
          </w:rPr>
          <w:tab/>
        </w:r>
        <w:r w:rsidRPr="00A86394">
          <w:rPr>
            <w:noProof/>
            <w:webHidden/>
          </w:rPr>
          <w:fldChar w:fldCharType="begin"/>
        </w:r>
        <w:r w:rsidRPr="00A86394">
          <w:rPr>
            <w:noProof/>
            <w:webHidden/>
          </w:rPr>
          <w:instrText xml:space="preserve"> PAGEREF _Toc181863898 \h </w:instrText>
        </w:r>
        <w:r w:rsidRPr="00A86394">
          <w:rPr>
            <w:noProof/>
          </w:rPr>
        </w:r>
        <w:r w:rsidRPr="00A86394">
          <w:rPr>
            <w:noProof/>
            <w:webHidden/>
          </w:rPr>
          <w:fldChar w:fldCharType="separate"/>
        </w:r>
        <w:r w:rsidR="00C70B68">
          <w:rPr>
            <w:noProof/>
            <w:webHidden/>
          </w:rPr>
          <w:t>1</w:t>
        </w:r>
        <w:r w:rsidRPr="00A86394">
          <w:rPr>
            <w:noProof/>
            <w:webHidden/>
          </w:rPr>
          <w:fldChar w:fldCharType="end"/>
        </w:r>
      </w:hyperlink>
    </w:p>
    <w:p w:rsidR="00FA3CBD" w:rsidRPr="00A86394" w:rsidRDefault="00FA3CBD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3899" w:history="1">
        <w:r w:rsidRPr="00A86394">
          <w:rPr>
            <w:rStyle w:val="aa"/>
            <w:noProof/>
            <w:color w:val="auto"/>
          </w:rPr>
          <w:t>3</w:t>
        </w:r>
        <w:r w:rsidRPr="00A86394">
          <w:rPr>
            <w:noProof/>
            <w:sz w:val="24"/>
          </w:rPr>
          <w:tab/>
        </w:r>
        <w:r w:rsidRPr="00A86394">
          <w:rPr>
            <w:rStyle w:val="aa"/>
            <w:noProof/>
            <w:color w:val="auto"/>
          </w:rPr>
          <w:t>權責</w:t>
        </w:r>
        <w:r w:rsidRPr="00A86394">
          <w:rPr>
            <w:noProof/>
            <w:webHidden/>
          </w:rPr>
          <w:tab/>
        </w:r>
        <w:r w:rsidRPr="00A86394">
          <w:rPr>
            <w:noProof/>
            <w:webHidden/>
          </w:rPr>
          <w:fldChar w:fldCharType="begin"/>
        </w:r>
        <w:r w:rsidRPr="00A86394">
          <w:rPr>
            <w:noProof/>
            <w:webHidden/>
          </w:rPr>
          <w:instrText xml:space="preserve"> PAGEREF _Toc181863899 \h </w:instrText>
        </w:r>
        <w:r w:rsidRPr="00A86394">
          <w:rPr>
            <w:noProof/>
          </w:rPr>
        </w:r>
        <w:r w:rsidRPr="00A86394">
          <w:rPr>
            <w:noProof/>
            <w:webHidden/>
          </w:rPr>
          <w:fldChar w:fldCharType="separate"/>
        </w:r>
        <w:r w:rsidR="00C70B68">
          <w:rPr>
            <w:noProof/>
            <w:webHidden/>
          </w:rPr>
          <w:t>1</w:t>
        </w:r>
        <w:r w:rsidRPr="00A86394">
          <w:rPr>
            <w:noProof/>
            <w:webHidden/>
          </w:rPr>
          <w:fldChar w:fldCharType="end"/>
        </w:r>
      </w:hyperlink>
    </w:p>
    <w:p w:rsidR="00FA3CBD" w:rsidRPr="00A86394" w:rsidRDefault="00FA3CBD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3900" w:history="1">
        <w:r w:rsidRPr="00A86394">
          <w:rPr>
            <w:rStyle w:val="aa"/>
            <w:noProof/>
            <w:color w:val="auto"/>
          </w:rPr>
          <w:t>4</w:t>
        </w:r>
        <w:r w:rsidRPr="00A86394">
          <w:rPr>
            <w:noProof/>
            <w:sz w:val="24"/>
          </w:rPr>
          <w:tab/>
        </w:r>
        <w:r w:rsidRPr="00A86394">
          <w:rPr>
            <w:rStyle w:val="aa"/>
            <w:noProof/>
            <w:color w:val="auto"/>
          </w:rPr>
          <w:t>名詞定義</w:t>
        </w:r>
        <w:r w:rsidRPr="00A86394">
          <w:rPr>
            <w:noProof/>
            <w:webHidden/>
          </w:rPr>
          <w:tab/>
        </w:r>
        <w:r w:rsidRPr="00A86394">
          <w:rPr>
            <w:noProof/>
            <w:webHidden/>
          </w:rPr>
          <w:fldChar w:fldCharType="begin"/>
        </w:r>
        <w:r w:rsidRPr="00A86394">
          <w:rPr>
            <w:noProof/>
            <w:webHidden/>
          </w:rPr>
          <w:instrText xml:space="preserve"> PAGEREF _Toc181863900 \h </w:instrText>
        </w:r>
        <w:r w:rsidRPr="00A86394">
          <w:rPr>
            <w:noProof/>
          </w:rPr>
        </w:r>
        <w:r w:rsidRPr="00A86394">
          <w:rPr>
            <w:noProof/>
            <w:webHidden/>
          </w:rPr>
          <w:fldChar w:fldCharType="separate"/>
        </w:r>
        <w:r w:rsidR="00C70B68">
          <w:rPr>
            <w:noProof/>
            <w:webHidden/>
          </w:rPr>
          <w:t>1</w:t>
        </w:r>
        <w:r w:rsidRPr="00A86394">
          <w:rPr>
            <w:noProof/>
            <w:webHidden/>
          </w:rPr>
          <w:fldChar w:fldCharType="end"/>
        </w:r>
      </w:hyperlink>
    </w:p>
    <w:p w:rsidR="00FA3CBD" w:rsidRPr="00A86394" w:rsidRDefault="00FA3CBD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3901" w:history="1">
        <w:r w:rsidRPr="00A86394">
          <w:rPr>
            <w:rStyle w:val="aa"/>
            <w:noProof/>
            <w:color w:val="auto"/>
          </w:rPr>
          <w:t>5</w:t>
        </w:r>
        <w:r w:rsidRPr="00A86394">
          <w:rPr>
            <w:noProof/>
            <w:sz w:val="24"/>
          </w:rPr>
          <w:tab/>
        </w:r>
        <w:r w:rsidRPr="00A86394">
          <w:rPr>
            <w:rStyle w:val="aa"/>
            <w:noProof/>
            <w:color w:val="auto"/>
          </w:rPr>
          <w:t>作業說明</w:t>
        </w:r>
        <w:r w:rsidRPr="00A86394">
          <w:rPr>
            <w:noProof/>
            <w:webHidden/>
          </w:rPr>
          <w:tab/>
        </w:r>
        <w:r w:rsidRPr="00A86394">
          <w:rPr>
            <w:noProof/>
            <w:webHidden/>
          </w:rPr>
          <w:fldChar w:fldCharType="begin"/>
        </w:r>
        <w:r w:rsidRPr="00A86394">
          <w:rPr>
            <w:noProof/>
            <w:webHidden/>
          </w:rPr>
          <w:instrText xml:space="preserve"> PAGEREF _Toc181863901 \h </w:instrText>
        </w:r>
        <w:r w:rsidRPr="00A86394">
          <w:rPr>
            <w:noProof/>
          </w:rPr>
        </w:r>
        <w:r w:rsidRPr="00A86394">
          <w:rPr>
            <w:noProof/>
            <w:webHidden/>
          </w:rPr>
          <w:fldChar w:fldCharType="separate"/>
        </w:r>
        <w:r w:rsidR="00C70B68">
          <w:rPr>
            <w:noProof/>
            <w:webHidden/>
          </w:rPr>
          <w:t>2</w:t>
        </w:r>
        <w:r w:rsidRPr="00A86394">
          <w:rPr>
            <w:noProof/>
            <w:webHidden/>
          </w:rPr>
          <w:fldChar w:fldCharType="end"/>
        </w:r>
      </w:hyperlink>
    </w:p>
    <w:p w:rsidR="00FA3CBD" w:rsidRPr="00A86394" w:rsidRDefault="00FA3CBD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3902" w:history="1">
        <w:r w:rsidRPr="00A86394">
          <w:rPr>
            <w:rStyle w:val="aa"/>
            <w:noProof/>
            <w:color w:val="auto"/>
          </w:rPr>
          <w:t>6</w:t>
        </w:r>
        <w:r w:rsidRPr="00A86394">
          <w:rPr>
            <w:noProof/>
            <w:sz w:val="24"/>
          </w:rPr>
          <w:tab/>
        </w:r>
        <w:r w:rsidRPr="00A86394">
          <w:rPr>
            <w:rStyle w:val="aa"/>
            <w:noProof/>
            <w:color w:val="auto"/>
          </w:rPr>
          <w:t>相關文件</w:t>
        </w:r>
        <w:r w:rsidRPr="00A86394">
          <w:rPr>
            <w:noProof/>
            <w:webHidden/>
          </w:rPr>
          <w:tab/>
        </w:r>
        <w:r w:rsidRPr="00A86394">
          <w:rPr>
            <w:noProof/>
            <w:webHidden/>
          </w:rPr>
          <w:fldChar w:fldCharType="begin"/>
        </w:r>
        <w:r w:rsidRPr="00A86394">
          <w:rPr>
            <w:noProof/>
            <w:webHidden/>
          </w:rPr>
          <w:instrText xml:space="preserve"> PAGEREF _Toc181863902 \h </w:instrText>
        </w:r>
        <w:r w:rsidRPr="00A86394">
          <w:rPr>
            <w:noProof/>
          </w:rPr>
        </w:r>
        <w:r w:rsidRPr="00A86394">
          <w:rPr>
            <w:noProof/>
            <w:webHidden/>
          </w:rPr>
          <w:fldChar w:fldCharType="separate"/>
        </w:r>
        <w:r w:rsidR="00C70B68">
          <w:rPr>
            <w:noProof/>
            <w:webHidden/>
          </w:rPr>
          <w:t>3</w:t>
        </w:r>
        <w:r w:rsidRPr="00A86394">
          <w:rPr>
            <w:noProof/>
            <w:webHidden/>
          </w:rPr>
          <w:fldChar w:fldCharType="end"/>
        </w:r>
      </w:hyperlink>
    </w:p>
    <w:p w:rsidR="00FA3CBD" w:rsidRPr="00A86394" w:rsidRDefault="00FA3CBD">
      <w:pPr>
        <w:spacing w:line="360" w:lineRule="auto"/>
      </w:pPr>
      <w:r w:rsidRPr="00A86394">
        <w:fldChar w:fldCharType="end"/>
      </w:r>
    </w:p>
    <w:p w:rsidR="00FA3CBD" w:rsidRPr="00A86394" w:rsidRDefault="00FA3CBD">
      <w:pPr>
        <w:spacing w:line="360" w:lineRule="auto"/>
      </w:pPr>
    </w:p>
    <w:p w:rsidR="00FA3CBD" w:rsidRPr="00A86394" w:rsidRDefault="00FA3CBD">
      <w:pPr>
        <w:spacing w:line="360" w:lineRule="auto"/>
        <w:sectPr w:rsidR="00FA3CBD" w:rsidRPr="00A86394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FA3CBD" w:rsidRPr="00A86394" w:rsidRDefault="00FA3CBD">
      <w:pPr>
        <w:pStyle w:val="1"/>
        <w:jc w:val="both"/>
      </w:pPr>
      <w:bookmarkStart w:id="2" w:name="_Toc181863897"/>
      <w:r w:rsidRPr="00A86394">
        <w:lastRenderedPageBreak/>
        <w:t>目的</w:t>
      </w:r>
      <w:bookmarkEnd w:id="2"/>
    </w:p>
    <w:p w:rsidR="00FA3CBD" w:rsidRPr="00A86394" w:rsidRDefault="00FA3CBD">
      <w:pPr>
        <w:adjustRightInd w:val="0"/>
        <w:snapToGrid w:val="0"/>
        <w:spacing w:line="360" w:lineRule="auto"/>
        <w:ind w:leftChars="128" w:left="358"/>
        <w:jc w:val="both"/>
        <w:rPr>
          <w:szCs w:val="28"/>
        </w:rPr>
      </w:pPr>
      <w:r w:rsidRPr="00A86394">
        <w:rPr>
          <w:szCs w:val="28"/>
        </w:rPr>
        <w:t>針對</w:t>
      </w:r>
      <w:r w:rsidR="00F26314">
        <w:rPr>
          <w:rFonts w:hint="eastAsia"/>
        </w:rPr>
        <w:t>X</w:t>
      </w:r>
      <w:r w:rsidR="00F26314">
        <w:t>XXX</w:t>
      </w:r>
      <w:r w:rsidR="006E5150">
        <w:rPr>
          <w:rFonts w:hint="eastAsia"/>
        </w:rPr>
        <w:t>學校</w:t>
      </w:r>
      <w:r w:rsidRPr="00A86394">
        <w:rPr>
          <w:rFonts w:cs="Arial"/>
          <w:szCs w:val="28"/>
        </w:rPr>
        <w:t>（以下簡稱</w:t>
      </w:r>
      <w:r w:rsidRPr="00A86394">
        <w:rPr>
          <w:rFonts w:cs="Arial" w:hint="eastAsia"/>
          <w:szCs w:val="28"/>
        </w:rPr>
        <w:t>「本</w:t>
      </w:r>
      <w:r w:rsidR="006E5150">
        <w:rPr>
          <w:rFonts w:cs="Arial" w:hint="eastAsia"/>
          <w:szCs w:val="28"/>
        </w:rPr>
        <w:t>校</w:t>
      </w:r>
      <w:r w:rsidRPr="00A86394">
        <w:rPr>
          <w:rFonts w:cs="Arial" w:hint="eastAsia"/>
          <w:szCs w:val="28"/>
        </w:rPr>
        <w:t>」</w:t>
      </w:r>
      <w:r w:rsidRPr="00A86394">
        <w:rPr>
          <w:rFonts w:cs="Arial"/>
          <w:szCs w:val="28"/>
        </w:rPr>
        <w:t>）</w:t>
      </w:r>
      <w:r w:rsidRPr="00A86394">
        <w:rPr>
          <w:szCs w:val="28"/>
        </w:rPr>
        <w:t>資訊安全管理制度運作過程中發生之</w:t>
      </w:r>
      <w:r w:rsidRPr="00A86394">
        <w:rPr>
          <w:rFonts w:hint="eastAsia"/>
        </w:rPr>
        <w:t>不符合事項</w:t>
      </w:r>
      <w:r w:rsidRPr="00A86394">
        <w:rPr>
          <w:szCs w:val="28"/>
        </w:rPr>
        <w:t>及潛在之風險，採取相關的矯正及預防措施，以防止類似事件發生，進而達成持續改善之目標。</w:t>
      </w:r>
    </w:p>
    <w:p w:rsidR="00FA3CBD" w:rsidRPr="00A86394" w:rsidRDefault="00FA3CBD">
      <w:pPr>
        <w:pStyle w:val="1"/>
        <w:jc w:val="both"/>
      </w:pPr>
      <w:bookmarkStart w:id="3" w:name="_Toc112216810"/>
      <w:bookmarkStart w:id="4" w:name="_Toc114564978"/>
      <w:bookmarkStart w:id="5" w:name="_Toc120327886"/>
      <w:bookmarkStart w:id="6" w:name="_Toc181863898"/>
      <w:r w:rsidRPr="00A86394">
        <w:t>適用範圍</w:t>
      </w:r>
      <w:bookmarkEnd w:id="3"/>
      <w:bookmarkEnd w:id="4"/>
      <w:bookmarkEnd w:id="5"/>
      <w:bookmarkEnd w:id="6"/>
    </w:p>
    <w:p w:rsidR="00FA3CBD" w:rsidRPr="00A86394" w:rsidRDefault="006E5150">
      <w:pPr>
        <w:spacing w:line="360" w:lineRule="auto"/>
        <w:ind w:leftChars="128" w:left="358"/>
        <w:jc w:val="both"/>
        <w:rPr>
          <w:szCs w:val="28"/>
        </w:rPr>
      </w:pPr>
      <w:r>
        <w:rPr>
          <w:szCs w:val="28"/>
        </w:rPr>
        <w:t>本校</w:t>
      </w:r>
      <w:r w:rsidR="00FA3CBD" w:rsidRPr="00A86394">
        <w:rPr>
          <w:szCs w:val="28"/>
        </w:rPr>
        <w:t>資訊安全管理制度各項作業流程發生之</w:t>
      </w:r>
      <w:r w:rsidR="00FA3CBD" w:rsidRPr="00A86394">
        <w:rPr>
          <w:rFonts w:hint="eastAsia"/>
        </w:rPr>
        <w:t>不符合事項</w:t>
      </w:r>
      <w:r w:rsidR="00FA3CBD" w:rsidRPr="00A86394">
        <w:rPr>
          <w:szCs w:val="28"/>
        </w:rPr>
        <w:t>、發生資訊安全事件及潛在之風險處理事項。</w:t>
      </w:r>
    </w:p>
    <w:p w:rsidR="00FA3CBD" w:rsidRPr="00A86394" w:rsidRDefault="00FA3CBD">
      <w:pPr>
        <w:pStyle w:val="1"/>
        <w:jc w:val="both"/>
      </w:pPr>
      <w:bookmarkStart w:id="7" w:name="_Toc112216812"/>
      <w:bookmarkStart w:id="8" w:name="_Toc114564980"/>
      <w:bookmarkStart w:id="9" w:name="_Toc120327888"/>
      <w:bookmarkStart w:id="10" w:name="_Toc112216813"/>
      <w:bookmarkStart w:id="11" w:name="_Toc114564981"/>
      <w:bookmarkStart w:id="12" w:name="_Toc120327889"/>
      <w:bookmarkStart w:id="13" w:name="_Toc181863899"/>
      <w:r w:rsidRPr="00A86394">
        <w:t>權責</w:t>
      </w:r>
      <w:bookmarkEnd w:id="10"/>
      <w:bookmarkEnd w:id="11"/>
      <w:bookmarkEnd w:id="12"/>
      <w:bookmarkEnd w:id="13"/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  <w:rPr>
          <w:szCs w:val="28"/>
        </w:rPr>
      </w:pPr>
      <w:r w:rsidRPr="00A86394">
        <w:t>資訊安全委員會：</w:t>
      </w:r>
      <w:r w:rsidRPr="00A86394">
        <w:rPr>
          <w:szCs w:val="28"/>
        </w:rPr>
        <w:t>負責矯正與預防措施之管理審查。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r w:rsidRPr="00A86394">
        <w:rPr>
          <w:rFonts w:hint="eastAsia"/>
        </w:rPr>
        <w:t>不符合事項</w:t>
      </w:r>
      <w:r w:rsidRPr="00A86394">
        <w:t>權責單位：負責稽核所發現</w:t>
      </w:r>
      <w:r w:rsidRPr="00A86394">
        <w:rPr>
          <w:rFonts w:hint="eastAsia"/>
        </w:rPr>
        <w:t>不符合事項</w:t>
      </w:r>
      <w:r w:rsidRPr="00A86394">
        <w:t>、資訊安全事件（含重大異常事件）或自行發現</w:t>
      </w:r>
      <w:r w:rsidRPr="00A86394">
        <w:rPr>
          <w:rFonts w:hint="eastAsia"/>
        </w:rPr>
        <w:t>不符合事項</w:t>
      </w:r>
      <w:r w:rsidRPr="00A86394">
        <w:t>之原因分析，決定優先順序與處理時限，提出矯正或預防措施並實施。</w:t>
      </w:r>
    </w:p>
    <w:p w:rsidR="00FA3CBD" w:rsidRPr="00A86394" w:rsidRDefault="00FA3CBD">
      <w:pPr>
        <w:pStyle w:val="1"/>
        <w:jc w:val="both"/>
      </w:pPr>
      <w:bookmarkStart w:id="14" w:name="_Toc181863900"/>
      <w:r w:rsidRPr="00A86394">
        <w:t>名詞定義</w:t>
      </w:r>
      <w:bookmarkEnd w:id="7"/>
      <w:bookmarkEnd w:id="8"/>
      <w:bookmarkEnd w:id="9"/>
      <w:bookmarkEnd w:id="14"/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  <w:tab w:val="num" w:pos="1952"/>
        </w:tabs>
        <w:adjustRightInd w:val="0"/>
        <w:snapToGrid w:val="0"/>
        <w:spacing w:line="360" w:lineRule="auto"/>
        <w:jc w:val="both"/>
      </w:pPr>
      <w:r w:rsidRPr="00A86394">
        <w:t>矯正措施：為防止不符合</w:t>
      </w:r>
      <w:r w:rsidRPr="00A86394">
        <w:rPr>
          <w:szCs w:val="28"/>
        </w:rPr>
        <w:t>資訊安全管理制度</w:t>
      </w:r>
      <w:r w:rsidRPr="00A86394">
        <w:t>實施、操作及使用之事項重複發生，所採取之措施。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  <w:rPr>
          <w:szCs w:val="28"/>
        </w:rPr>
      </w:pPr>
      <w:r w:rsidRPr="00A86394">
        <w:t>預防措施：為預防</w:t>
      </w:r>
      <w:r w:rsidRPr="00A86394">
        <w:rPr>
          <w:rFonts w:hint="eastAsia"/>
        </w:rPr>
        <w:t>潛在</w:t>
      </w:r>
      <w:r w:rsidRPr="00A86394">
        <w:t>不符合</w:t>
      </w:r>
      <w:r w:rsidRPr="00A86394">
        <w:rPr>
          <w:szCs w:val="28"/>
        </w:rPr>
        <w:t>資訊安全管理制度</w:t>
      </w:r>
      <w:r w:rsidRPr="00A86394">
        <w:t>實施、操作及使用之事項發生，所採取消除未</w:t>
      </w:r>
      <w:r w:rsidRPr="00A86394">
        <w:rPr>
          <w:szCs w:val="28"/>
        </w:rPr>
        <w:t>來不符合事項發生原因之措施。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r w:rsidRPr="00A86394">
        <w:rPr>
          <w:rFonts w:hint="eastAsia"/>
        </w:rPr>
        <w:t>不符合事項</w:t>
      </w:r>
      <w:r w:rsidRPr="00A86394">
        <w:t>：不符合</w:t>
      </w:r>
      <w:r w:rsidRPr="00A86394">
        <w:rPr>
          <w:szCs w:val="28"/>
        </w:rPr>
        <w:t>資訊安全管理制度</w:t>
      </w:r>
      <w:r w:rsidRPr="00A86394">
        <w:t>實施及操作事項者。依影響程度分為：</w:t>
      </w:r>
    </w:p>
    <w:p w:rsidR="00FA3CBD" w:rsidRPr="00A86394" w:rsidRDefault="00FA3CBD">
      <w:pPr>
        <w:numPr>
          <w:ilvl w:val="2"/>
          <w:numId w:val="16"/>
        </w:numPr>
        <w:tabs>
          <w:tab w:val="num" w:pos="1952"/>
          <w:tab w:val="num" w:pos="2160"/>
        </w:tabs>
        <w:adjustRightInd w:val="0"/>
        <w:snapToGrid w:val="0"/>
        <w:spacing w:line="360" w:lineRule="auto"/>
        <w:jc w:val="both"/>
        <w:rPr>
          <w:bCs/>
          <w:szCs w:val="28"/>
        </w:rPr>
      </w:pPr>
      <w:r w:rsidRPr="00A86394">
        <w:t>主要</w:t>
      </w:r>
      <w:r w:rsidRPr="00A86394">
        <w:rPr>
          <w:rFonts w:hint="eastAsia"/>
        </w:rPr>
        <w:t>不符合事項</w:t>
      </w:r>
      <w:r w:rsidRPr="00A86394">
        <w:t>：</w:t>
      </w:r>
      <w:r w:rsidRPr="00A86394">
        <w:rPr>
          <w:bCs/>
          <w:szCs w:val="28"/>
        </w:rPr>
        <w:t>未執行</w:t>
      </w:r>
      <w:r w:rsidRPr="00A86394">
        <w:rPr>
          <w:szCs w:val="28"/>
        </w:rPr>
        <w:t>資訊安全管理制度</w:t>
      </w:r>
      <w:r w:rsidRPr="00A86394">
        <w:rPr>
          <w:bCs/>
          <w:szCs w:val="28"/>
        </w:rPr>
        <w:t>之要求，或多個次要</w:t>
      </w:r>
      <w:r w:rsidRPr="00A86394">
        <w:rPr>
          <w:rFonts w:hint="eastAsia"/>
        </w:rPr>
        <w:t>不符合事項</w:t>
      </w:r>
      <w:r w:rsidRPr="00A86394">
        <w:rPr>
          <w:bCs/>
          <w:szCs w:val="28"/>
        </w:rPr>
        <w:t>集中於同一控制措施者。</w:t>
      </w:r>
    </w:p>
    <w:p w:rsidR="00FA3CBD" w:rsidRPr="00A86394" w:rsidRDefault="00FA3CBD">
      <w:pPr>
        <w:numPr>
          <w:ilvl w:val="2"/>
          <w:numId w:val="16"/>
        </w:numPr>
        <w:tabs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t>次要</w:t>
      </w:r>
      <w:r w:rsidRPr="00A86394">
        <w:rPr>
          <w:rFonts w:hint="eastAsia"/>
        </w:rPr>
        <w:t>不符合事項</w:t>
      </w:r>
      <w:r w:rsidRPr="00A86394">
        <w:t>：未能完全遵循</w:t>
      </w:r>
      <w:r w:rsidRPr="00A86394">
        <w:rPr>
          <w:szCs w:val="28"/>
        </w:rPr>
        <w:t>資訊安全管理制度</w:t>
      </w:r>
      <w:r w:rsidRPr="00A86394">
        <w:t>之要求，但為單一事件者。</w:t>
      </w:r>
    </w:p>
    <w:p w:rsidR="00FA3CBD" w:rsidRPr="00A86394" w:rsidRDefault="00FA3CBD">
      <w:pPr>
        <w:numPr>
          <w:ilvl w:val="2"/>
          <w:numId w:val="16"/>
        </w:numPr>
        <w:tabs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lastRenderedPageBreak/>
        <w:t>觀察</w:t>
      </w:r>
      <w:r w:rsidRPr="00A86394">
        <w:rPr>
          <w:rFonts w:hint="eastAsia"/>
        </w:rPr>
        <w:t>事項</w:t>
      </w:r>
      <w:r w:rsidRPr="00A86394">
        <w:t>：發現可能對</w:t>
      </w:r>
      <w:r w:rsidRPr="00A86394">
        <w:rPr>
          <w:szCs w:val="28"/>
        </w:rPr>
        <w:t>資訊安全管理制度</w:t>
      </w:r>
      <w:r w:rsidRPr="00A86394">
        <w:t>造成影響的事實及事件，但未有足夠證據顯示會影響資訊安全政策及目標的達成，卻因未來可能成為</w:t>
      </w:r>
      <w:r w:rsidRPr="00A86394">
        <w:rPr>
          <w:rFonts w:hint="eastAsia"/>
        </w:rPr>
        <w:t>不符合事項</w:t>
      </w:r>
      <w:r w:rsidRPr="00A86394">
        <w:t>而需要再覆核。</w:t>
      </w:r>
    </w:p>
    <w:p w:rsidR="00FA3CBD" w:rsidRPr="00A86394" w:rsidRDefault="00FA3CBD">
      <w:pPr>
        <w:numPr>
          <w:ilvl w:val="2"/>
          <w:numId w:val="16"/>
        </w:numPr>
        <w:tabs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t>建議</w:t>
      </w:r>
      <w:r w:rsidRPr="00A86394">
        <w:rPr>
          <w:rFonts w:hint="eastAsia"/>
        </w:rPr>
        <w:t>事項</w:t>
      </w:r>
      <w:r w:rsidRPr="00A86394">
        <w:t>：發現可能對</w:t>
      </w:r>
      <w:r w:rsidRPr="00A86394">
        <w:rPr>
          <w:szCs w:val="28"/>
        </w:rPr>
        <w:t>資訊安全管理制度</w:t>
      </w:r>
      <w:r w:rsidRPr="00A86394">
        <w:t>造成影響的潛在問題，可提出建議之改善措施，以預防未來發生之可能性。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bookmarkStart w:id="15" w:name="_Toc52880258"/>
      <w:r w:rsidRPr="00A86394">
        <w:t>潛在</w:t>
      </w:r>
      <w:bookmarkEnd w:id="15"/>
      <w:r w:rsidRPr="00A86394">
        <w:t>風險：尚未發生但未來有可能發生之不確定事件。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r w:rsidRPr="00A86394">
        <w:t>暫時性對策：能控制</w:t>
      </w:r>
      <w:r w:rsidRPr="00A86394">
        <w:rPr>
          <w:rFonts w:hint="eastAsia"/>
        </w:rPr>
        <w:t>不符合事項</w:t>
      </w:r>
      <w:r w:rsidRPr="00A86394">
        <w:t>的擴大或消除單一事件的影響之措施。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r w:rsidRPr="00A86394">
        <w:rPr>
          <w:rFonts w:hint="eastAsia"/>
        </w:rPr>
        <w:t>長期</w:t>
      </w:r>
      <w:r w:rsidRPr="00A86394">
        <w:t>性對策：能消除</w:t>
      </w:r>
      <w:r w:rsidRPr="00A86394">
        <w:rPr>
          <w:rFonts w:hint="eastAsia"/>
        </w:rPr>
        <w:t>不符合事項</w:t>
      </w:r>
      <w:r w:rsidRPr="00A86394">
        <w:t>或潛在風險的根本原因之措施。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r w:rsidRPr="00A86394">
        <w:rPr>
          <w:rFonts w:hint="eastAsia"/>
        </w:rPr>
        <w:t>不符合事項</w:t>
      </w:r>
      <w:r w:rsidRPr="00A86394">
        <w:t>權責單位：矯正及預防措施之實際執行單位。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r w:rsidRPr="00A86394">
        <w:t>追蹤人：進行矯正或預防措施執行狀況之追蹤，可由稽核組員、組長或相關權責人員負責，但不可由該矯正或預防措施處理人員擔任。</w:t>
      </w:r>
    </w:p>
    <w:p w:rsidR="00FA3CBD" w:rsidRPr="00A86394" w:rsidRDefault="00FA3CBD">
      <w:pPr>
        <w:pStyle w:val="1"/>
        <w:jc w:val="both"/>
      </w:pPr>
      <w:bookmarkStart w:id="16" w:name="_Toc112216581"/>
      <w:bookmarkStart w:id="17" w:name="_Toc112216773"/>
      <w:bookmarkStart w:id="18" w:name="_Toc112216814"/>
      <w:bookmarkStart w:id="19" w:name="_Toc112216582"/>
      <w:bookmarkStart w:id="20" w:name="_Toc112216774"/>
      <w:bookmarkStart w:id="21" w:name="_Toc112216815"/>
      <w:bookmarkStart w:id="22" w:name="_Toc112216816"/>
      <w:bookmarkStart w:id="23" w:name="_Toc114564982"/>
      <w:bookmarkStart w:id="24" w:name="_Toc120327890"/>
      <w:bookmarkStart w:id="25" w:name="_Toc181863901"/>
      <w:bookmarkEnd w:id="16"/>
      <w:bookmarkEnd w:id="17"/>
      <w:bookmarkEnd w:id="18"/>
      <w:bookmarkEnd w:id="19"/>
      <w:bookmarkEnd w:id="20"/>
      <w:bookmarkEnd w:id="21"/>
      <w:r w:rsidRPr="00A86394">
        <w:t>作業說明</w:t>
      </w:r>
      <w:bookmarkEnd w:id="22"/>
      <w:bookmarkEnd w:id="23"/>
      <w:bookmarkEnd w:id="24"/>
      <w:bookmarkEnd w:id="25"/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bookmarkStart w:id="26" w:name="_Toc429990211"/>
      <w:bookmarkStart w:id="27" w:name="_Toc52880266"/>
      <w:r w:rsidRPr="00A86394">
        <w:t>執行時機</w:t>
      </w:r>
      <w:bookmarkEnd w:id="26"/>
      <w:bookmarkEnd w:id="27"/>
    </w:p>
    <w:p w:rsidR="00FA3CBD" w:rsidRPr="00A86394" w:rsidRDefault="00FA3CBD">
      <w:pPr>
        <w:numPr>
          <w:ilvl w:val="2"/>
          <w:numId w:val="16"/>
        </w:numPr>
        <w:tabs>
          <w:tab w:val="num" w:pos="1656"/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t>內部及外部稽核發現</w:t>
      </w:r>
      <w:r w:rsidRPr="00A86394">
        <w:rPr>
          <w:rFonts w:hint="eastAsia"/>
        </w:rPr>
        <w:t>不符合事項</w:t>
      </w:r>
      <w:r w:rsidRPr="00A86394">
        <w:t>時，</w:t>
      </w:r>
      <w:r w:rsidRPr="00A86394">
        <w:rPr>
          <w:rFonts w:hint="eastAsia"/>
        </w:rPr>
        <w:t>不符合事項</w:t>
      </w:r>
      <w:r w:rsidRPr="00A86394">
        <w:t>權責單位需提出矯正措施，並填寫於「矯正與預防處理單」。</w:t>
      </w:r>
    </w:p>
    <w:p w:rsidR="00FA3CBD" w:rsidRPr="00A86394" w:rsidRDefault="00FA3CBD">
      <w:pPr>
        <w:numPr>
          <w:ilvl w:val="2"/>
          <w:numId w:val="16"/>
        </w:numPr>
        <w:tabs>
          <w:tab w:val="num" w:pos="1656"/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t>發生資訊安全事件（含重大異常事件）或自行發現</w:t>
      </w:r>
      <w:r w:rsidRPr="00A86394">
        <w:rPr>
          <w:rFonts w:hint="eastAsia"/>
        </w:rPr>
        <w:t>不符合事項</w:t>
      </w:r>
      <w:r w:rsidRPr="00A86394">
        <w:t>時，應執行矯正或預防措施，並填寫於「矯正與預防處理單」。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bookmarkStart w:id="28" w:name="_Toc52880268"/>
      <w:r w:rsidRPr="00A86394">
        <w:t>原因分析</w:t>
      </w:r>
      <w:bookmarkEnd w:id="28"/>
    </w:p>
    <w:p w:rsidR="00FA3CBD" w:rsidRPr="00A86394" w:rsidRDefault="00FA3CBD">
      <w:pPr>
        <w:tabs>
          <w:tab w:val="num" w:pos="1952"/>
          <w:tab w:val="num" w:pos="2160"/>
        </w:tabs>
        <w:adjustRightInd w:val="0"/>
        <w:snapToGrid w:val="0"/>
        <w:spacing w:line="360" w:lineRule="auto"/>
        <w:ind w:left="851"/>
        <w:jc w:val="both"/>
      </w:pPr>
      <w:r w:rsidRPr="00A86394">
        <w:t>防制</w:t>
      </w:r>
      <w:r w:rsidRPr="00A86394">
        <w:rPr>
          <w:rFonts w:hint="eastAsia"/>
        </w:rPr>
        <w:t>不符合事項</w:t>
      </w:r>
      <w:r w:rsidRPr="00A86394">
        <w:t>權責單位應分析問題發生之原因及影響程度，決定優先順序與處理時限。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bookmarkStart w:id="29" w:name="_Toc52880270"/>
      <w:r w:rsidRPr="00A86394">
        <w:t>矯正與預防措施評估</w:t>
      </w:r>
      <w:bookmarkEnd w:id="29"/>
    </w:p>
    <w:p w:rsidR="00FA3CBD" w:rsidRPr="00A86394" w:rsidRDefault="00FA3CBD">
      <w:pPr>
        <w:numPr>
          <w:ilvl w:val="2"/>
          <w:numId w:val="16"/>
        </w:numPr>
        <w:tabs>
          <w:tab w:val="num" w:pos="1656"/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rPr>
          <w:rFonts w:hint="eastAsia"/>
        </w:rPr>
        <w:t>不符合事項</w:t>
      </w:r>
      <w:r w:rsidRPr="00A86394">
        <w:t>權責單位提出矯正與預防措施時，得區分為暫時性對策及</w:t>
      </w:r>
      <w:r w:rsidRPr="00A86394">
        <w:rPr>
          <w:rFonts w:hint="eastAsia"/>
        </w:rPr>
        <w:t>長期</w:t>
      </w:r>
      <w:r w:rsidRPr="00A86394">
        <w:t>性對策，防止類似事件發生。</w:t>
      </w:r>
    </w:p>
    <w:p w:rsidR="00FA3CBD" w:rsidRPr="00A86394" w:rsidRDefault="00FA3CBD">
      <w:pPr>
        <w:numPr>
          <w:ilvl w:val="2"/>
          <w:numId w:val="16"/>
        </w:numPr>
        <w:tabs>
          <w:tab w:val="num" w:pos="1656"/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t>評估措施時須考慮成本效益及可行性。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bookmarkStart w:id="30" w:name="_Toc52880272"/>
      <w:r w:rsidRPr="00A86394">
        <w:t>追蹤執行狀況</w:t>
      </w:r>
      <w:bookmarkEnd w:id="30"/>
    </w:p>
    <w:p w:rsidR="00FA3CBD" w:rsidRPr="00A86394" w:rsidRDefault="00FA3CBD">
      <w:pPr>
        <w:numPr>
          <w:ilvl w:val="2"/>
          <w:numId w:val="16"/>
        </w:numPr>
        <w:tabs>
          <w:tab w:val="num" w:pos="1656"/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lastRenderedPageBreak/>
        <w:t>矯正與預防措施之執行狀況，應由</w:t>
      </w:r>
      <w:r w:rsidRPr="00A86394">
        <w:rPr>
          <w:rFonts w:hint="eastAsia"/>
        </w:rPr>
        <w:t>不符合事項</w:t>
      </w:r>
      <w:r w:rsidRPr="00A86394">
        <w:t>權責單位依據「矯正與預防處理單」確實執行。</w:t>
      </w:r>
    </w:p>
    <w:p w:rsidR="00FA3CBD" w:rsidRPr="00A86394" w:rsidRDefault="00FA3CBD">
      <w:pPr>
        <w:numPr>
          <w:ilvl w:val="2"/>
          <w:numId w:val="16"/>
        </w:numPr>
        <w:tabs>
          <w:tab w:val="num" w:pos="1656"/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t>有關執行狀況之追蹤，由稽核</w:t>
      </w:r>
      <w:r w:rsidRPr="00A86394">
        <w:rPr>
          <w:rFonts w:hint="eastAsia"/>
        </w:rPr>
        <w:t>小組</w:t>
      </w:r>
      <w:r w:rsidRPr="00A86394">
        <w:t>組</w:t>
      </w:r>
      <w:r w:rsidRPr="00A86394">
        <w:rPr>
          <w:rFonts w:hint="eastAsia"/>
        </w:rPr>
        <w:t>長</w:t>
      </w:r>
      <w:r w:rsidRPr="00A86394">
        <w:t>、組</w:t>
      </w:r>
      <w:r w:rsidRPr="00A86394">
        <w:rPr>
          <w:rFonts w:hint="eastAsia"/>
        </w:rPr>
        <w:t>員</w:t>
      </w:r>
      <w:r w:rsidRPr="00A86394">
        <w:t>或相關權責人員負責。</w:t>
      </w:r>
    </w:p>
    <w:p w:rsidR="00FA3CBD" w:rsidRPr="00A86394" w:rsidRDefault="00FA3CBD">
      <w:pPr>
        <w:numPr>
          <w:ilvl w:val="2"/>
          <w:numId w:val="16"/>
        </w:numPr>
        <w:tabs>
          <w:tab w:val="num" w:pos="1656"/>
          <w:tab w:val="num" w:pos="1952"/>
          <w:tab w:val="num" w:pos="2160"/>
        </w:tabs>
        <w:adjustRightInd w:val="0"/>
        <w:snapToGrid w:val="0"/>
        <w:spacing w:line="360" w:lineRule="auto"/>
        <w:jc w:val="both"/>
      </w:pPr>
      <w:r w:rsidRPr="00A86394">
        <w:t>追蹤人最遲應於收到「矯正與預防處理單」後</w:t>
      </w:r>
      <w:r w:rsidRPr="00A86394">
        <w:rPr>
          <w:rFonts w:hint="eastAsia"/>
        </w:rPr>
        <w:t>十</w:t>
      </w:r>
      <w:r w:rsidRPr="00A86394">
        <w:t>個工作天內進行首次追蹤，並應於「矯正與預防處理單」上留存追蹤軌跡。</w:t>
      </w:r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bookmarkStart w:id="31" w:name="_Toc429990218"/>
      <w:bookmarkStart w:id="32" w:name="_Toc52880273"/>
      <w:r w:rsidRPr="00A86394">
        <w:t>管理審查</w:t>
      </w:r>
      <w:bookmarkEnd w:id="31"/>
      <w:bookmarkEnd w:id="32"/>
    </w:p>
    <w:p w:rsidR="00FA3CBD" w:rsidRPr="00A86394" w:rsidRDefault="00FA3CBD">
      <w:pPr>
        <w:tabs>
          <w:tab w:val="num" w:pos="1952"/>
          <w:tab w:val="num" w:pos="2160"/>
        </w:tabs>
        <w:adjustRightInd w:val="0"/>
        <w:snapToGrid w:val="0"/>
        <w:spacing w:line="360" w:lineRule="auto"/>
        <w:ind w:left="851"/>
        <w:jc w:val="both"/>
      </w:pPr>
      <w:r w:rsidRPr="00A86394">
        <w:rPr>
          <w:rFonts w:hint="eastAsia"/>
        </w:rPr>
        <w:t>不符合事項</w:t>
      </w:r>
      <w:r w:rsidRPr="00A86394">
        <w:t>權責單位應彙整相關矯正及預防措施之執行狀況，於管理審查會議提出報告。</w:t>
      </w:r>
    </w:p>
    <w:p w:rsidR="00FA3CBD" w:rsidRPr="00A86394" w:rsidRDefault="00FA3CBD">
      <w:pPr>
        <w:pStyle w:val="1"/>
        <w:jc w:val="both"/>
      </w:pPr>
      <w:bookmarkStart w:id="33" w:name="_Toc120327891"/>
      <w:bookmarkStart w:id="34" w:name="_Toc181863902"/>
      <w:r w:rsidRPr="00A86394">
        <w:t>相關文件</w:t>
      </w:r>
      <w:bookmarkEnd w:id="33"/>
      <w:bookmarkEnd w:id="34"/>
    </w:p>
    <w:p w:rsidR="00FA3CBD" w:rsidRPr="00A86394" w:rsidRDefault="00FA3CBD">
      <w:pPr>
        <w:numPr>
          <w:ilvl w:val="1"/>
          <w:numId w:val="16"/>
        </w:numPr>
        <w:tabs>
          <w:tab w:val="num" w:pos="1116"/>
          <w:tab w:val="num" w:pos="1592"/>
          <w:tab w:val="num" w:pos="1620"/>
        </w:tabs>
        <w:adjustRightInd w:val="0"/>
        <w:snapToGrid w:val="0"/>
        <w:spacing w:line="360" w:lineRule="auto"/>
        <w:jc w:val="both"/>
      </w:pPr>
      <w:r w:rsidRPr="00A86394">
        <w:t>矯正與預防處理單</w:t>
      </w:r>
    </w:p>
    <w:sectPr w:rsidR="00FA3CBD" w:rsidRPr="00A86394"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8A" w:rsidRDefault="007A7D8A">
      <w:r>
        <w:separator/>
      </w:r>
    </w:p>
  </w:endnote>
  <w:endnote w:type="continuationSeparator" w:id="0">
    <w:p w:rsidR="007A7D8A" w:rsidRDefault="007A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BD" w:rsidRDefault="00FA3CBD">
    <w:pPr>
      <w:pStyle w:val="ac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BD" w:rsidRDefault="00FA3CB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BD" w:rsidRDefault="00FA3CBD">
    <w:pPr>
      <w:pStyle w:val="ac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BD" w:rsidRDefault="00FA3CBD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70026">
      <w:rPr>
        <w:rStyle w:val="ad"/>
        <w:noProof/>
      </w:rPr>
      <w:t>3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8A" w:rsidRDefault="007A7D8A">
      <w:r>
        <w:separator/>
      </w:r>
    </w:p>
  </w:footnote>
  <w:footnote w:type="continuationSeparator" w:id="0">
    <w:p w:rsidR="007A7D8A" w:rsidRDefault="007A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BD" w:rsidRDefault="00FA3CB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622"/>
      <w:gridCol w:w="1440"/>
      <w:gridCol w:w="1967"/>
      <w:gridCol w:w="900"/>
      <w:gridCol w:w="1453"/>
    </w:tblGrid>
    <w:tr w:rsidR="00FA3CBD">
      <w:tblPrEx>
        <w:tblCellMar>
          <w:top w:w="0" w:type="dxa"/>
          <w:bottom w:w="0" w:type="dxa"/>
        </w:tblCellMar>
      </w:tblPrEx>
      <w:trPr>
        <w:trHeight w:val="65"/>
      </w:trPr>
      <w:tc>
        <w:tcPr>
          <w:tcW w:w="9742" w:type="dxa"/>
          <w:gridSpan w:val="6"/>
          <w:vAlign w:val="center"/>
        </w:tcPr>
        <w:p w:rsidR="00FA3CBD" w:rsidRDefault="00FA3CBD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STYLEREF  </w:instrText>
          </w:r>
          <w:r>
            <w:rPr>
              <w:sz w:val="28"/>
              <w:szCs w:val="28"/>
            </w:rPr>
            <w:instrText>文件名稱</w:instrText>
          </w:r>
          <w:r>
            <w:rPr>
              <w:sz w:val="28"/>
              <w:szCs w:val="28"/>
            </w:rPr>
            <w:instrText xml:space="preserve">  \* MERGEFORMAT </w:instrText>
          </w:r>
          <w:r>
            <w:rPr>
              <w:sz w:val="28"/>
              <w:szCs w:val="28"/>
            </w:rPr>
            <w:fldChar w:fldCharType="separate"/>
          </w:r>
          <w:r w:rsidR="00C70026">
            <w:rPr>
              <w:rFonts w:hint="eastAsia"/>
              <w:noProof/>
              <w:sz w:val="28"/>
              <w:szCs w:val="28"/>
            </w:rPr>
            <w:t>矯正及預防管理程序書</w:t>
          </w:r>
          <w:r>
            <w:rPr>
              <w:sz w:val="28"/>
              <w:szCs w:val="28"/>
            </w:rPr>
            <w:fldChar w:fldCharType="end"/>
          </w:r>
        </w:p>
      </w:tc>
    </w:tr>
    <w:tr w:rsidR="00FA3CBD">
      <w:tblPrEx>
        <w:tblCellMar>
          <w:top w:w="0" w:type="dxa"/>
          <w:bottom w:w="0" w:type="dxa"/>
        </w:tblCellMar>
      </w:tblPrEx>
      <w:trPr>
        <w:cantSplit/>
        <w:trHeight w:val="65"/>
      </w:trPr>
      <w:tc>
        <w:tcPr>
          <w:tcW w:w="1360" w:type="dxa"/>
          <w:vAlign w:val="center"/>
        </w:tcPr>
        <w:p w:rsidR="00FA3CBD" w:rsidRDefault="00FA3CBD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FA3CBD" w:rsidRDefault="00F26314" w:rsidP="00C70026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>
            <w:rPr>
              <w:color w:val="0000FF"/>
              <w:sz w:val="28"/>
              <w:szCs w:val="28"/>
            </w:rPr>
            <w:t>XXXX</w:t>
          </w:r>
          <w:r w:rsidR="00FA3CBD">
            <w:rPr>
              <w:sz w:val="28"/>
              <w:szCs w:val="28"/>
            </w:rPr>
            <w:t>-B-</w:t>
          </w:r>
          <w:r w:rsidR="00B67D4F">
            <w:rPr>
              <w:rFonts w:hint="eastAsia"/>
              <w:color w:val="0000FF"/>
              <w:sz w:val="28"/>
              <w:szCs w:val="28"/>
            </w:rPr>
            <w:t>014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FA3CBD" w:rsidRDefault="00FA3CBD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FA3CBD" w:rsidRDefault="00FA3CBD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STYLEREF  "</w:instrText>
          </w:r>
          <w:r>
            <w:rPr>
              <w:sz w:val="28"/>
              <w:szCs w:val="28"/>
            </w:rPr>
            <w:instrText>機密等級</w:instrText>
          </w:r>
          <w:r>
            <w:rPr>
              <w:sz w:val="28"/>
              <w:szCs w:val="28"/>
            </w:rPr>
            <w:instrText xml:space="preserve"> </w:instrText>
          </w:r>
          <w:r>
            <w:rPr>
              <w:sz w:val="28"/>
              <w:szCs w:val="28"/>
            </w:rPr>
            <w:instrText>字元</w:instrText>
          </w:r>
          <w:r>
            <w:rPr>
              <w:sz w:val="28"/>
              <w:szCs w:val="28"/>
            </w:rPr>
            <w:instrText xml:space="preserve">"  \* MERGEFORMAT </w:instrText>
          </w:r>
          <w:r>
            <w:rPr>
              <w:sz w:val="28"/>
              <w:szCs w:val="28"/>
            </w:rPr>
            <w:fldChar w:fldCharType="separate"/>
          </w:r>
          <w:r w:rsidR="00C70026">
            <w:rPr>
              <w:rFonts w:hint="eastAsia"/>
              <w:noProof/>
              <w:sz w:val="28"/>
              <w:szCs w:val="28"/>
            </w:rPr>
            <w:t>限閱</w:t>
          </w:r>
          <w:r>
            <w:rPr>
              <w:sz w:val="28"/>
              <w:szCs w:val="28"/>
            </w:rPr>
            <w:fldChar w:fldCharType="end"/>
          </w:r>
        </w:p>
      </w:tc>
      <w:tc>
        <w:tcPr>
          <w:tcW w:w="900" w:type="dxa"/>
          <w:vAlign w:val="center"/>
        </w:tcPr>
        <w:p w:rsidR="00FA3CBD" w:rsidRDefault="00FA3CBD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版本</w:t>
          </w:r>
        </w:p>
      </w:tc>
      <w:tc>
        <w:tcPr>
          <w:tcW w:w="1453" w:type="dxa"/>
          <w:vAlign w:val="center"/>
        </w:tcPr>
        <w:p w:rsidR="00FA3CBD" w:rsidRDefault="00FA3CBD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STYLEREF  "</w:instrText>
          </w:r>
          <w:r>
            <w:rPr>
              <w:sz w:val="28"/>
              <w:szCs w:val="28"/>
            </w:rPr>
            <w:instrText>版次</w:instrText>
          </w:r>
          <w:r>
            <w:rPr>
              <w:sz w:val="28"/>
              <w:szCs w:val="28"/>
            </w:rPr>
            <w:instrText xml:space="preserve"> </w:instrText>
          </w:r>
          <w:r>
            <w:rPr>
              <w:sz w:val="28"/>
              <w:szCs w:val="28"/>
            </w:rPr>
            <w:instrText>字元</w:instrText>
          </w:r>
          <w:r>
            <w:rPr>
              <w:sz w:val="28"/>
              <w:szCs w:val="28"/>
            </w:rPr>
            <w:instrText xml:space="preserve">"  \* MERGEFORMAT </w:instrText>
          </w:r>
          <w:r>
            <w:rPr>
              <w:sz w:val="28"/>
              <w:szCs w:val="28"/>
            </w:rPr>
            <w:fldChar w:fldCharType="separate"/>
          </w:r>
          <w:r w:rsidR="00C70026">
            <w:rPr>
              <w:noProof/>
              <w:sz w:val="28"/>
              <w:szCs w:val="28"/>
            </w:rPr>
            <w:t>1.0</w:t>
          </w:r>
          <w:r>
            <w:rPr>
              <w:sz w:val="28"/>
              <w:szCs w:val="28"/>
            </w:rPr>
            <w:fldChar w:fldCharType="end"/>
          </w:r>
        </w:p>
      </w:tc>
    </w:tr>
  </w:tbl>
  <w:p w:rsidR="00FA3CBD" w:rsidRDefault="00FA3CBD">
    <w:pPr>
      <w:pStyle w:val="ae"/>
      <w:rPr>
        <w:rFonts w:ascii="Arial" w:hAnsi="Arial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9A11D10"/>
    <w:multiLevelType w:val="multilevel"/>
    <w:tmpl w:val="2648150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C48522F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0F8F0127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156A4824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7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 w15:restartNumberingAfterBreak="0">
    <w:nsid w:val="4D4B7B2B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9" w15:restartNumberingAfterBreak="0">
    <w:nsid w:val="693F69D2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7FAD5ED5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9"/>
  </w:num>
  <w:num w:numId="24">
    <w:abstractNumId w:val="10"/>
  </w:num>
  <w:num w:numId="25">
    <w:abstractNumId w:val="11"/>
  </w:num>
  <w:num w:numId="26">
    <w:abstractNumId w:val="1"/>
  </w:num>
  <w:num w:numId="27">
    <w:abstractNumId w:val="4"/>
  </w:num>
  <w:num w:numId="28">
    <w:abstractNumId w:val="3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BD"/>
    <w:rsid w:val="00183E33"/>
    <w:rsid w:val="001C5027"/>
    <w:rsid w:val="00373B28"/>
    <w:rsid w:val="003D3D54"/>
    <w:rsid w:val="004555CE"/>
    <w:rsid w:val="004D5CDF"/>
    <w:rsid w:val="00551921"/>
    <w:rsid w:val="00616DF0"/>
    <w:rsid w:val="006E5150"/>
    <w:rsid w:val="007A7D8A"/>
    <w:rsid w:val="00840580"/>
    <w:rsid w:val="00A86394"/>
    <w:rsid w:val="00AB674B"/>
    <w:rsid w:val="00B67D4F"/>
    <w:rsid w:val="00C67854"/>
    <w:rsid w:val="00C70026"/>
    <w:rsid w:val="00C70B68"/>
    <w:rsid w:val="00D86096"/>
    <w:rsid w:val="00F26314"/>
    <w:rsid w:val="00FA3CBD"/>
    <w:rsid w:val="00FF30FA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B3E21-3A67-44FB-AEB4-39D1D39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</w:style>
  <w:style w:type="paragraph" w:styleId="ae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0">
    <w:name w:val=" 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2">
    <w:name w:val="文件名稱"/>
    <w:basedOn w:val="a6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f3">
    <w:name w:val="版次"/>
    <w:basedOn w:val="a6"/>
    <w:pPr>
      <w:spacing w:line="360" w:lineRule="auto"/>
    </w:pPr>
    <w:rPr>
      <w:rFonts w:ascii="Arial" w:hAnsi="Arial" w:cs="Arial"/>
      <w:b/>
      <w:sz w:val="40"/>
    </w:rPr>
  </w:style>
  <w:style w:type="character" w:customStyle="1" w:styleId="af4">
    <w:name w:val="版次 字元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5">
    <w:name w:val="機密等級"/>
    <w:basedOn w:val="a6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6">
    <w:name w:val="機密等級 字元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</Words>
  <Characters>1611</Characters>
  <Application>Microsoft Office Word</Application>
  <DocSecurity>0</DocSecurity>
  <Lines>13</Lines>
  <Paragraphs>3</Paragraphs>
  <ScaleCrop>false</ScaleCrop>
  <Company>NII</Company>
  <LinksUpToDate>false</LinksUpToDate>
  <CharactersWithSpaces>1890</CharactersWithSpaces>
  <SharedDoc>false</SharedDoc>
  <HLinks>
    <vt:vector size="36" baseType="variant"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_Toc181863902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_Toc181863901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_Toc181863900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_Toc181863899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_Toc181863898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_Toc181863897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矯正及預防管理程序書</dc:title>
  <dc:subject/>
  <dc:creator>Jens Chen</dc:creator>
  <cp:keywords/>
  <dc:description/>
  <cp:lastModifiedBy>耀明 劉</cp:lastModifiedBy>
  <cp:revision>2</cp:revision>
  <cp:lastPrinted>2009-08-04T03:59:00Z</cp:lastPrinted>
  <dcterms:created xsi:type="dcterms:W3CDTF">2020-04-20T08:51:00Z</dcterms:created>
  <dcterms:modified xsi:type="dcterms:W3CDTF">2020-04-20T08:51:00Z</dcterms:modified>
</cp:coreProperties>
</file>